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[I128-1397] Замена редактора записи мероприятий на стандартный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5703315216f953fa170b33d71710c04e70a02f"/>
    <w:p>
      <w:pPr>
        <w:pStyle w:val="Heading1"/>
      </w:pPr>
      <w:r>
        <w:t xml:space="preserve">[I128-1397] Замена редактора записи мероприятий на стандартный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Event - Мероприятия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2"/>
    <w:p>
      <w:pPr>
        <w:pStyle w:val="Heading3"/>
      </w:pPr>
      <w:r>
        <w:t xml:space="preserve">1.1. 🔗 Соответствует задача: I128-2152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[I128-2152]</w:t>
        </w:r>
      </w:hyperlink>
      <w:r>
        <w:t xml:space="preserve"> </w:t>
      </w:r>
      <w:r>
        <w:t xml:space="preserve">Редактор записи в БД мероприятий заменить на стандартный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2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2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[I128-1397] Замена редактора записи мероприятий на стандартный</dc:title>
  <dc:creator/>
  <cp:keywords/>
  <dcterms:created xsi:type="dcterms:W3CDTF">2026-08-31T08:57:35Z</dcterms:created>
  <dcterms:modified xsi:type="dcterms:W3CDTF">2026-08-31T08:57:35Z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